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Клиническая фармакология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03:48 МСК · База обновлена: 25.07.2026, 03:33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клинический фармаколог вызван на консультацию к пациенту М, 87 лет. В течение 23 лет принимает клонидин 300 мкг 3 раза в сутки с целью терапии артериальной гипертензии. Так же по поводу СД 2 типа получает метформин. Периодически принимает НПВС из-за болей в коленных суставах.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Активно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течении 23 лет.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нормально. Образование среднее. Питание регулярное, в недостаточном количестве. Жилищно-бытовые условия удовлетворительные. Вдовец. +</w:t>
        <w:br/>
        <w:t>Перенесенные заболевания –детские инфекции. +</w:t>
        <w:br/>
        <w:t>Сопутствующие заболевания: Поверхностный атрофический гастрит (ремиссия). +</w:t>
        <w:br/>
        <w:t>Наследственность-не отягощена. +</w:t>
        <w:br/>
        <w:t>Аллергия на новокаин - крапивница. Вредные привычки: курит с 15-ти лет по пачке сигарет в день.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170 см, вес 95 кг. +</w:t>
        <w:br/>
        <w:t>Состояние средней степени тяжести, сознание ясное. Кожа, слизистые бледно-розовой окраски, кожа повышенной влажности. Периферические лимфатическое узлы не увеличены. Дыхание везикулярное, хрипов нет, ЧДД=20/мин. Тоны сердца ясные, ритмичные, шумов нет. ЧСС 70/мин. АД 142/96 мм рт. ст. Печень по краю рёберной дуги. Периферических отёков нет. Физиологические отправления без особенностей.</w:t>
      </w:r>
    </w:p>
    <w:p>
      <w:pPr>
        <w:pStyle w:val="Heading2"/>
      </w:pPr>
      <w:r>
        <w:t>2. Дополнительная информация</w:t>
      </w:r>
    </w:p>
    <w:p>
      <w:pPr>
        <w:spacing w:after="58"/>
      </w:pPr>
      <w:r>
        <w:rPr>
          <w:b w:val="0"/>
          <w:i w:val="0"/>
        </w:rPr>
        <w:t>При плановой диспансеризации была обнаружена выраженная брадикардия – 43 удара в минуту. Что было расценено как действие клонидина. Терапевт рекомендовал отменить клонидин и назначил другую антигипертензивную терапию. На следующий день пациент отметил повышение АД до 161/100 мм рт. ст.</w:t>
      </w:r>
    </w:p>
    <w:p>
      <w:pPr>
        <w:pStyle w:val="Heading2"/>
      </w:pPr>
      <w:r>
        <w:t>1. Консультирование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Данное повышение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лекарственной реакцией (НЛР)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возрастными изменениями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проявлением основного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симптомом нового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нежелательной лекарственной реакцией (НЛР)</w:t>
      </w:r>
    </w:p>
    <w:p>
      <w:pPr>
        <w:ind w:left="504"/>
      </w:pPr>
      <w:r>
        <w:rPr>
          <w:b w:val="0"/>
          <w:i/>
        </w:rPr>
        <w:t>Еще один вариант реакции типа С - синдром отмены, как правило, возникающий при внезапном прекращении приема ЛС. Так, подобная отмена клофелина может привести к гипертоническому кризу (ГК), хинидина - к тяжелым аритмиям, антиангинальных препаратов - к приступу стенокардии, антикоагулянтов - к тромбоэмболии.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Тип развившейся нежелательной реакции (НЛР) - это тип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</w:t>
      </w:r>
    </w:p>
    <w:p>
      <w:pPr>
        <w:ind w:left="504"/>
      </w:pPr>
      <w:r>
        <w:rPr>
          <w:b w:val="0"/>
          <w:i/>
        </w:rPr>
        <w:t>Еще один вариант реакции типа С - синдром отмены, как правило, возникающий при внезапном прекращении приема ЛС. Так, подобная отмена клофелина может привести к гипертоническому кризу (ГК), хинидина - к тяжелым аритмиям, антиангинальных препаратов - к приступу стенокардии, антикоагулянтов - к тромбоэмболии.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достижения целевого АД, данному пациенту наряду с блокаторами рецепторов к АТ IIЭ, бета блокаторами и блокаторами кальциевых каналов возможно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альфа блокатор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бета миметик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блокатор рецепторов к АТ 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ингибитор АПФ</w:t>
      </w:r>
    </w:p>
    <w:p>
      <w:pPr>
        <w:ind w:left="504"/>
      </w:pPr>
      <w:r>
        <w:rPr>
          <w:b w:val="0"/>
          <w:i/>
        </w:rPr>
        <w:t>К рекомендуемым комбинациям трех антигипертензивных препаратов относятся: ИАПФ + дигидропиридиновый АК + ББ; БРА + дигидропиридиновый АК + ББ; ИАПФ + АК + диуретик; БРА + АК + диуретик; ИАПФ + диуретик + ББ; БРА + диуретик + ББ; дигидропиридиновый АК + диуретик + ББ.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Пациенту был назначен рамиприл 2,5 мг {asterisk} 1 раз в сутки, совместно с приемом гидрохлортиазида. Данная комбинация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синергичной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рациональной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потенциально опасной для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нерациональной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рациональной</w:t>
      </w:r>
    </w:p>
    <w:p>
      <w:pPr>
        <w:ind w:left="504"/>
      </w:pPr>
      <w:r>
        <w:rPr>
          <w:b w:val="0"/>
          <w:i/>
        </w:rPr>
        <w:t>Все преимущества комбинированной терапии присущи только рациональным комбинациям АГП. К ним относятся: ИАПФ + диуретик; БРА + диуретик; ИАПФ + АК; БРА + АК, дигидропиридиновый АК + ББ, АК + диуретик, ББ + диуретик.</w:t>
        <w:br/>
        <w:br/>
      </w:r>
      <w:hyperlink r:id="rId23">
        <w:r>
          <w:rPr>
            <w:color w:val="173C49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увеличения приверженности данного пациента терапии ему можно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принимать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отменить гипотиазид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принимать двойную дозу эналаприла один раз в сутки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принимать комбинированный препарат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принимать комбинированный препарат</w:t>
      </w:r>
    </w:p>
    <w:p>
      <w:pPr>
        <w:ind w:left="504"/>
      </w:pPr>
      <w:r>
        <w:rPr>
          <w:b w:val="0"/>
          <w:i/>
        </w:rPr>
        <w:t>После того, как пациенту будут подобраны дозы гидрохлоротиазида и рамиприла, для большего удобства пациентов их прием может быть заменен на прием комбинированного препарата Амприлан® НЛ.</w:t>
        <w:br/>
        <w:br/>
        <w:t>Одновременное применение рамиприла и гидрохлоротиазида</w:t>
        <w:br/>
        <w:br/>
        <w:t>В клинических исследованиях применение данной комбинации приводило к более выраженному снижению АД, чем при применении любого из препаратов отдельно. При одновременном применении рамиприла и гидрохлоротиазида наблюдается тенденция к предотвращению потери ионов калия, связанной с применением этих диуретиков, предположительно, за счет блокады ренин-ангиотензин-альдостероновой системы (РААС). Применение комбинации ингибитора АПФ и тиазидного диуретика вызывает синергический эффект, а также снижает риск развития гипокалиемии, вызываемой применением диуретика отдельно.</w:t>
        <w:br/>
        <w:br/>
        <w:t>Справочник лекарств по ГРЛС МинЗдрава РФ</w:t>
        <w:br/>
        <w:br/>
      </w:r>
      <w:hyperlink r:id="rId26">
        <w:r>
          <w:rPr>
            <w:color w:val="173C49"/>
            <w:u w:val="single"/>
          </w:rPr>
          <w:t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Через 2 недели приема пациент обратился к терапевту для контроля АД и предъявил жалобы на головную боль, чувство сердцебиения и сухой кашель. Данные жалобы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лекарственной реакцией (НЛР)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новым заболеванием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проявлением 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проявлением артериальной гипертензии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нежелательной лекарственной реакцией (НЛР)</w:t>
      </w:r>
    </w:p>
    <w:p>
      <w:pPr>
        <w:ind w:left="504"/>
      </w:pPr>
      <w:r>
        <w:rPr>
          <w:b w:val="0"/>
          <w:i/>
        </w:rPr>
        <w:t>Профиль безопасности комбинации гидрохлоротиазид/рамиприл включает нежелательные реакции, возникающие на фоне артериальной гипотензии и/или гиповолемии в силу увеличения диуреза. Действующее вещество рамиприл может вызывать постоянный сухой кашель, в то время как действующее вещество гидрохлоротиазид может ухудшить метаболизм глюкозы, липидов и мочевой кислоты.</w:t>
        <w:br/>
        <w:br/>
        <w:t>Справочник лекарств по ГРЛС МинЗдрава РФ</w:t>
        <w:br/>
        <w:br/>
      </w:r>
      <w:hyperlink r:id="rId26">
        <w:r>
          <w:rPr>
            <w:color w:val="173C49"/>
            <w:u w:val="single"/>
          </w:rPr>
          <w:t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Препаратом, из принимаемых пациентом вызвавшим данные НЯ,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гипотиазид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метформин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НПВС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рамиприл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рамиприл</w:t>
      </w:r>
    </w:p>
    <w:p>
      <w:pPr>
        <w:ind w:left="504"/>
      </w:pPr>
      <w:r>
        <w:rPr>
          <w:b w:val="0"/>
          <w:i/>
        </w:rPr>
        <w:t>Профиль безопасности комбинации гидрохлоротиазид/рамиприл включает нежелательные реакции, возникающие на фоне артериальной гипотензии и/или гиповолемии в силу увеличения диуреза. Действующее вещество рамиприл может вызывать постоянный сухой кашель, в то время как действующее вещество гидрохлоротиазид может ухудшить метаболизм глюкозы, липидов и мочевой кислоты.</w:t>
        <w:br/>
        <w:br/>
        <w:t>Справочник лекарств по ГРЛС МинЗдрава РФ</w:t>
        <w:br/>
        <w:br/>
      </w:r>
      <w:hyperlink r:id="rId26">
        <w:r>
          <w:rPr>
            <w:color w:val="173C49"/>
            <w:u w:val="single"/>
          </w:rPr>
          <w:t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лабораторном контроле, через месяц после приема комбинированного препарата, бала выявлена гипергликемия 7,9 ммоль/л. Данное изменение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дебютом 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реакцией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нормальным повышением для 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дебютом несахарного диабета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нежелательной реакцией</w:t>
      </w:r>
    </w:p>
    <w:p>
      <w:pPr>
        <w:ind w:left="504"/>
      </w:pPr>
      <w:r>
        <w:rPr>
          <w:b w:val="0"/>
          <w:i/>
        </w:rPr>
        <w:t>Нарушения со стороны обмена веществ и питания: неадекватный контроль сахарного диабета, снижение толерантности к глюкозе, повышение концентрации глюкозы крови, повышение концентрации мочевой кислоты в плазме крови, обострение подагры, повышение концентрации общего холестерина и/или триглицеридов в плазме крови (препарат содержит гидрохлоротиазид)</w:t>
        <w:br/>
        <w:br/>
        <w:t>Справочник лекарств по ГРЛС МинЗдрава РФ</w:t>
        <w:br/>
        <w:br/>
      </w:r>
      <w:hyperlink r:id="rId26">
        <w:r>
          <w:rPr>
            <w:color w:val="173C49"/>
            <w:u w:val="single"/>
          </w:rPr>
          <w:t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Согласно ВОЗ, Тип А (предсказуемые реакции)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реакции, возникающие у небольшого числа больных, не зависящие от дозы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результат фармакологического действия ЛС</w:t>
      </w:r>
    </w:p>
    <w:p>
      <w:pPr>
        <w:ind w:left="504"/>
      </w:pPr>
      <w:r>
        <w:rPr>
          <w:b w:val="0"/>
          <w:i/>
        </w:rPr>
        <w:t>Тип А (предсказуемые реакции) - результат фармакологического действия ЛС. Реакции типа А возникают часто, зависят от дозы (частота и тяжесть увеличиваются при повышении дозы). Этих реакций часто можно избежать путем подбора индивидуальной дозы для каждого больного.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Согласно ВОЗ, Тип В (непредсказуемые реакции) - это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у небольшого числа больных, не зависящие от дозы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отсроченные НЛР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реакции, возникающие у небольшого числа больных, не зависящие от дозы препарата</w:t>
      </w:r>
    </w:p>
    <w:p>
      <w:pPr>
        <w:ind w:left="504"/>
      </w:pPr>
      <w:r>
        <w:rPr>
          <w:b w:val="0"/>
          <w:i/>
        </w:rPr>
        <w:t>Тип В (непредсказуемые реакции) - реакции, возникающие у небольшого числа больных, не зависящие от дозы препарата, более редкие, чем реакции типа А, непредсказуемы, часто относятся к числу серьезных и сложны для изучения (трудно воспроизводимы в условиях эксперимента).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Согласно ВОЗ, Тип С («химические» реакции) - это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лекарственной устойчивости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реакции, возникающие при длительном приеме ЛС</w:t>
      </w:r>
    </w:p>
    <w:p>
      <w:pPr>
        <w:ind w:left="504"/>
      </w:pPr>
      <w:r>
        <w:rPr>
          <w:b w:val="0"/>
          <w:i/>
        </w:rPr>
        <w:t>Тип С («химические» реакции) - реакции, возникающие при длительном приеме ЛС. Часто они проявляются развитием толерантности, лекарственной зависимости, синдромом отмены. Особым видом НЛР типа С считают лекарственную зависимость.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Типом развившейся нежелательной реакции (гипергликемия) является тип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</w:t>
      </w:r>
    </w:p>
    <w:p>
      <w:pPr>
        <w:ind w:left="504"/>
      </w:pPr>
      <w:r>
        <w:rPr>
          <w:b w:val="0"/>
          <w:i/>
        </w:rPr>
        <w:t>Тип А (предсказуемые реакции)- результат фармакологического действия ЛС. Реакции типа А возникают часто, зависят от дозы (частота и тяжесть увеличиваются при повышении дозы). Этих реакций часто можно избежать путем подбора индивидуальной дозы для каждого больного.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Врач-клинический фармаколог вызван на консультацию к Больной К. 38 лет.</w:t>
      </w:r>
    </w:p>
    <w:p>
      <w:pPr>
        <w:spacing w:after="58"/>
      </w:pPr>
      <w:r>
        <w:rPr>
          <w:b w:val="0"/>
          <w:i w:val="0"/>
        </w:rPr>
        <w:t>Диагноз: Острый двухсторонний верхнечелюстной синусит.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Лихорадка 38,7°С, выраженная общая слабость, появилась головная боль, усиливающаяся при наклоне головы, из носа – обильное отделяемое желто-зеленого цвета.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Заболела остро, появился насморк, повышение Т до 38,5°С принимала ингавирин в течение 5 дней. После кратковременного улучшения (снижение Т, некоторое уменьшение насморка на 3-4 день заболевания) вновь повысилась Т до 38,7°С, выраженная общая слабость, появилась головная боль, усиливающаяся при наклоне головы, из носа – обильное отделяемое желто-зеленого цвета. Самостоятельно принимала ампициллин 500 мг 3 р/сут 3 дня, без существенного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Б/х крови – без особенностей,</w:t>
      </w:r>
    </w:p>
    <w:p>
      <w:pPr>
        <w:spacing w:after="58"/>
      </w:pPr>
      <w:r>
        <w:rPr>
          <w:b w:val="0"/>
          <w:i w:val="0"/>
        </w:rPr>
        <w:t>ОАК Л/ц 12,5х109/л, Эр 3,5х1012/л, Hb 120 г/л, С 78%, П 6%, Л 23%,</w:t>
      </w:r>
    </w:p>
    <w:p>
      <w:pPr>
        <w:spacing w:after="58"/>
      </w:pPr>
      <w:r>
        <w:rPr>
          <w:b w:val="0"/>
          <w:i w:val="0"/>
        </w:rPr>
        <w:t>ОАМ – без особенностей.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Настоящие клинические проявления связаны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присоединением бактериальной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развитием осложненного течение гриппа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развитием острого респираторного вирусного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присоединением вирусной суперинфекции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присоединением бактериальной инфекции</w:t>
      </w:r>
    </w:p>
    <w:p>
      <w:pPr>
        <w:ind w:left="504"/>
      </w:pPr>
      <w:r>
        <w:rPr>
          <w:b w:val="0"/>
          <w:i/>
        </w:rPr>
        <w:t>В условиях выраженного отека, застоя секрета снижается активностью факторов специфической и неспецифической резистентности, снижается парциальное давления кислорода в пазухе и создаются оптимальные условия для развития активной бактериальной инфекции.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Ампициллин обладает бактерицидным действием на не вырабатывающую бета-лактамазы _____ флору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 -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внутриклеточную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 {plus}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анаэробную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Гр {plus}</w:t>
      </w:r>
    </w:p>
    <w:p>
      <w:pPr>
        <w:ind w:left="504"/>
      </w:pPr>
      <w:r>
        <w:rPr>
          <w:b w:val="0"/>
          <w:i/>
        </w:rPr>
        <w:t>Ампициллин относится к полусинтетическим пенициллинам широкого спектра действия. Препарат обладает бактерицидным действием на Гр+ флору, включая _Streptoccocus pyogenes_ и пенициллин-чувствительные штаммы пневмококков, гемофильную полочку.</w:t>
        <w:br/>
        <w:br/>
        <w:t>Государственный реестр лекарственных средств</w:t>
        <w:br/>
        <w:br/>
      </w:r>
      <w:hyperlink r:id="rId31">
        <w:r>
          <w:rPr>
            <w:color w:val="173C49"/>
            <w:u w:val="single"/>
          </w:rPr>
          <w:t>https://grls.rosminzdrav.ru/Grls_View_v2.aspx?routingGuid=08bbc3f7-e5f5-47c8-b1e7-5cc25584ac8b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Одной из причин неэффективности приема ампициллина в данном случае может быть его низкая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оральная биодоступность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проникающая способность через ГЭБ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кумулятивная способность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связь с белками плазмы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оральная биодоступность</w:t>
      </w:r>
    </w:p>
    <w:p>
      <w:pPr>
        <w:ind w:left="504"/>
      </w:pPr>
      <w:r>
        <w:rPr>
          <w:b w:val="0"/>
          <w:i/>
        </w:rPr>
        <w:t>Неэффективность приема ампициллина может быть связана с его низкой биодоступностью при пероральном приеме и не возможностью создать бактерицидные концентрации в органе-мишени.</w:t>
        <w:br/>
        <w:br/>
        <w:t>Государственный реестр лекарственных средств</w:t>
        <w:br/>
        <w:br/>
      </w:r>
      <w:hyperlink r:id="rId31">
        <w:r>
          <w:rPr>
            <w:color w:val="173C49"/>
            <w:u w:val="single"/>
          </w:rPr>
          <w:t>https://grls.rosminzdrav.ru/Grls_View_v2.aspx?routingGuid=08bbc3f7-e5f5-47c8-b1e7-5cc25584ac8b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Оценка эффективности антибактериальной терапии проводится через +_____+ часа/часов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48-72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24-48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36-48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12-24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48-72</w:t>
      </w:r>
    </w:p>
    <w:p>
      <w:pPr>
        <w:ind w:left="504"/>
      </w:pPr>
      <w:r>
        <w:rPr>
          <w:b w:val="0"/>
          <w:i/>
        </w:rPr>
        <w:t>Контроль эффективности антибактериальной терапии должен проводится в срок от 48 до 72 часов.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данной ситуации существует необходимость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парентерального применения ампициллина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отмены ампициллина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назначения амоксициллина – препарата с большей оральной биодоступностью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увеличения дозы ампициллина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отмены ампициллина</w:t>
      </w:r>
    </w:p>
    <w:p>
      <w:pPr>
        <w:ind w:left="504"/>
      </w:pPr>
      <w:r>
        <w:rPr>
          <w:b w:val="0"/>
          <w:i/>
        </w:rPr>
        <w:t>При отсутствии заметного клинического эффекта в течение трех дней, не дожидаясь окончания курса терапии, следует поменять препарат.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Альтернативными препаратами являются ингибитор-защищенные пенициллины - амоксициллин+клавулановая кислота, режим дозирования которого +________________+ мг 3 раза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внутримышечно 750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внутрь 625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внутривенно 625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внутривенно 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внутрь 625</w:t>
      </w:r>
    </w:p>
    <w:p>
      <w:pPr>
        <w:ind w:left="504"/>
      </w:pPr>
      <w:r>
        <w:rPr>
          <w:b w:val="0"/>
          <w:i/>
        </w:rPr>
        <w:t>Амоксициллин+Клавулановая кислота рекомендуется в случае отсутствия эффекта от терапии амоксициллином в течение 48-72 часов.</w:t>
        <w:br/>
        <w:br/>
        <w:t>Амоксициллин+[Клавулановая кислота] внутрь 500/125 мг 3 раза в сутки.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Диспергируемая таблетка амоксициллина обладает +________________+ биодоступностью по сравнению с амоксициллином в виде таблеток и капсул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непредсказуемой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меньшей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большей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большей</w:t>
      </w:r>
    </w:p>
    <w:p>
      <w:pPr>
        <w:ind w:left="504"/>
      </w:pPr>
      <w:r>
        <w:rPr>
          <w:b w:val="0"/>
          <w:i/>
        </w:rPr>
        <w:t>Наиболее высокой биодоступностью (93%) обладают специальные растворимые таблетки амоксициллина - Флемоксин Солютаб.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978-5-9704-58815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+____+ применяется для лечения острого синусита в случае наличие аллергической реакции на бета-лактамные антибиотики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Цефиксим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Цефдиторен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Моксифлоксацин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Клиндамицин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Моксифлоксацин</w:t>
      </w:r>
    </w:p>
    <w:p>
      <w:pPr>
        <w:ind w:left="504"/>
      </w:pPr>
      <w:r>
        <w:rPr>
          <w:b w:val="0"/>
          <w:i/>
        </w:rPr>
        <w:t>Аллергия на бета-лактамные антибактериальные препараты:</w:t>
        <w:br/>
        <w:br/>
        <w:t>Моксифлоксацин внутрь 400 мг 1 раз в сутки.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Обсемененность определяется по количеству +_________________________+, это показатель количества жизнеспособных микроорганизмов в единице объема (1 см3), в жидкости (1 мл), или в твердом/сухом материале (1 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миллиэквивалента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международных единиц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колоний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колониеобразующих единиц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колониеобразующих единиц</w:t>
      </w:r>
    </w:p>
    <w:p>
      <w:pPr>
        <w:ind w:left="504"/>
      </w:pPr>
      <w:r>
        <w:rPr>
          <w:b w:val="0"/>
          <w:i/>
        </w:rPr>
        <w:t>Обсемененность раны микроорганизмам 107 –109 колониеобразующих единиц на 1 г ткани.</w:t>
        <w:br/>
        <w:br/>
        <w:t>Неотложная абдоминальная хирургия / под общ. ред. С. В. Тарасенко. - Москва : ГЭОТАР-Медиа, 2024 г.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Забор материала для микробиологического анализа производится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 время первого обращения в поликлинику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высоте лихорадки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нормализации температуры тела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 назначением препарата второй линии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перед назначением препарата второй линии</w:t>
      </w:r>
    </w:p>
    <w:p>
      <w:pPr>
        <w:ind w:left="504"/>
      </w:pPr>
      <w:r>
        <w:rPr>
          <w:b w:val="0"/>
          <w:i/>
        </w:rPr>
        <w:t>Рекомендуется проведение бактериологического (культурального) исследования гнойного отделяемого на аэробные и факультативно анаэробные микроорганизмы с определением возбудителя и его чувствительности к антибактериальным или/и другим лекарственным препаратам для выбора адекватной терапии пациентам со средне-тяжелым и тяжелым течением ОС, находящимся на стационарном лечении, а также пациентам с затяжным течением ОС, при неэффективности эмпирических курсов антибиотикотерапии.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Регулярное +____________________________+ является мерой профилактики одонтогенного синусита, требующего хирургического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посещение сауны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применение левофлоксацина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использование назальных форм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посещение стоматолога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посещение стоматолога</w:t>
      </w:r>
    </w:p>
    <w:p>
      <w:pPr>
        <w:ind w:left="504"/>
      </w:pPr>
      <w:r>
        <w:rPr>
          <w:b w:val="0"/>
          <w:i/>
        </w:rPr>
        <w:t>Следует помнить, что ОС может иметь одонтогенную природу. В данном случае лечение должно быть хирургическим (удаление пломбировочного материала, секвестров костной ткани из пораженной пазухи).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синуситов должна быть направлена на лечение основного заболевания и устранение предрасполагающих факторов, таких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искривление носовой перегородки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бронхиальная астма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избыточная масса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низкий уровень физической активности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искривление носовой перегородки</w:t>
      </w:r>
    </w:p>
    <w:p>
      <w:pPr>
        <w:ind w:left="504"/>
      </w:pPr>
      <w:r>
        <w:rPr>
          <w:b w:val="0"/>
          <w:i/>
        </w:rPr>
        <w:t>Рекомендуется пациентам с рецидивирующим течение ОС в анамнезе при выявлении предрасполагающих анатомических изменений со стороны перегородки носа и структур латеральной стенки полости носа целью профилактики ОС проведение планового хирургического лечения.</w:t>
        <w:br/>
        <w:br/>
      </w:r>
      <w:hyperlink r:id="rId29">
        <w:r>
          <w:rPr>
            <w:color w:val="173C49"/>
            <w:u w:val="single"/>
          </w:rPr>
          <w:t>Клинические рекомендации Минздрава России. Острый синусит,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Клиническая фармакология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8815/?anchor=paragraph_b7v67s#paragraph_b7v67s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KP62_24/" TargetMode="External"/><Relationship Id="rId24" Type="http://schemas.openxmlformats.org/officeDocument/2006/relationships/hyperlink" Target="https://library.mededtech.ru/rest/documents/KP62_24/#paragraph_qlev98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grls.rosminzdrav.ru/Grls_View_v2.aspx?routingGuid=7e7a4275-6899-45b9-a37c-4d35e45583d2&amp;t=" TargetMode="External"/><Relationship Id="rId27" Type="http://schemas.openxmlformats.org/officeDocument/2006/relationships/hyperlink" Target="https://library.mededtech.ru/rest/documents/ISBN9785970458815/?anchor=paragraph_sgd3e0#paragraph_sgd3e0" TargetMode="External"/><Relationship Id="rId28" Type="http://schemas.openxmlformats.org/officeDocument/2006/relationships/hyperlink" Target="https://library.mededtech.ru/rest/documents/ISBN9785970458815/?anchor=paragraph_4s47sr#paragraph_4s47sr" TargetMode="External"/><Relationship Id="rId29" Type="http://schemas.openxmlformats.org/officeDocument/2006/relationships/hyperlink" Target="https://library.mededtech.ru/rest/documents/KP313_24/" TargetMode="External"/><Relationship Id="rId30" Type="http://schemas.openxmlformats.org/officeDocument/2006/relationships/hyperlink" Target="https://library.mededtech.ru/rest/documents/KP313_24/#paragraph_vevu71" TargetMode="External"/><Relationship Id="rId31" Type="http://schemas.openxmlformats.org/officeDocument/2006/relationships/hyperlink" Target="https://grls.rosminzdrav.ru/Grls_View_v2.aspx?routingGuid=08bbc3f7-e5f5-47c8-b1e7-5cc25584ac8b" TargetMode="External"/><Relationship Id="rId32" Type="http://schemas.openxmlformats.org/officeDocument/2006/relationships/hyperlink" Target="https://library.mededtech.ru/rest/documents/KP313_24/#paragraph_lb9i74" TargetMode="External"/><Relationship Id="rId33" Type="http://schemas.openxmlformats.org/officeDocument/2006/relationships/hyperlink" Target="https://library.mededtech.ru/rest/documents/KP313_24/#paragraph_u6dnsp" TargetMode="External"/><Relationship Id="rId34" Type="http://schemas.openxmlformats.org/officeDocument/2006/relationships/hyperlink" Target="https://library.mededtech.ru/rest/documents/KP313_24/#tab4" TargetMode="External"/><Relationship Id="rId35" Type="http://schemas.openxmlformats.org/officeDocument/2006/relationships/hyperlink" Target="https://library.mededtech.ru/rest/documents/ISBN9785970458815/?anchor=paragraph_h7om3j#paragraph_h7om3j" TargetMode="External"/><Relationship Id="rId36" Type="http://schemas.openxmlformats.org/officeDocument/2006/relationships/hyperlink" Target="https://library.mededtech.ru/rest/documents/ISBN9785970479704/?anchor=list_item_mab947#list_item_mab947" TargetMode="External"/><Relationship Id="rId37" Type="http://schemas.openxmlformats.org/officeDocument/2006/relationships/hyperlink" Target="https://library.mededtech.ru/rest/documents/KP313_24/#list_item_i6mgiu" TargetMode="External"/><Relationship Id="rId38" Type="http://schemas.openxmlformats.org/officeDocument/2006/relationships/hyperlink" Target="https://library.mededtech.ru/rest/documents/KP313_24/#paragraph_7puri9" TargetMode="External"/><Relationship Id="rId39" Type="http://schemas.openxmlformats.org/officeDocument/2006/relationships/hyperlink" Target="https://library.mededtech.ru/rest/documents/KP313_24/#list_item_qk04d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